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8A" w:rsidRPr="00F57C8A" w:rsidRDefault="00F57C8A" w:rsidP="00F57C8A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  <w:r w:rsidRPr="00F57C8A">
        <w:rPr>
          <w:rFonts w:ascii="仿宋_GB2312" w:eastAsia="仿宋_GB2312" w:hAnsi="Times New Roman" w:hint="eastAsia"/>
          <w:sz w:val="32"/>
          <w:szCs w:val="32"/>
        </w:rPr>
        <w:t>附件1</w:t>
      </w:r>
    </w:p>
    <w:p w:rsidR="00F57C8A" w:rsidRPr="00F57C8A" w:rsidRDefault="00F57C8A" w:rsidP="008D14D1">
      <w:pPr>
        <w:spacing w:beforeLines="50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F57C8A">
        <w:rPr>
          <w:rFonts w:ascii="黑体" w:eastAsia="黑体" w:hAnsi="黑体"/>
          <w:sz w:val="36"/>
          <w:szCs w:val="36"/>
        </w:rPr>
        <w:t>新能源汽车产品技术要求</w:t>
      </w:r>
    </w:p>
    <w:p w:rsidR="00F57C8A" w:rsidRPr="00F57C8A" w:rsidRDefault="00F57C8A" w:rsidP="008D14D1">
      <w:pPr>
        <w:widowControl/>
        <w:spacing w:beforeLines="100"/>
        <w:ind w:firstLineChars="198" w:firstLine="634"/>
        <w:rPr>
          <w:rFonts w:ascii="黑体" w:eastAsia="黑体" w:hAnsi="黑体"/>
          <w:bCs/>
          <w:sz w:val="32"/>
          <w:szCs w:val="32"/>
        </w:rPr>
      </w:pPr>
      <w:r w:rsidRPr="00F57C8A">
        <w:rPr>
          <w:rFonts w:ascii="黑体" w:eastAsia="黑体" w:hAnsi="黑体"/>
          <w:kern w:val="0"/>
          <w:sz w:val="32"/>
          <w:szCs w:val="32"/>
        </w:rPr>
        <w:t>一、新能源汽车纯电动续驶里程要求</w:t>
      </w:r>
    </w:p>
    <w:p w:rsidR="00F57C8A" w:rsidRPr="00F57C8A" w:rsidRDefault="00F57C8A" w:rsidP="008D14D1">
      <w:pPr>
        <w:spacing w:beforeLines="50"/>
        <w:ind w:firstLineChars="200" w:firstLine="440"/>
        <w:jc w:val="right"/>
        <w:rPr>
          <w:rFonts w:ascii="仿宋_GB2312" w:eastAsia="仿宋_GB2312" w:hAnsi="Times New Roman"/>
          <w:bCs/>
          <w:sz w:val="24"/>
          <w:szCs w:val="21"/>
        </w:rPr>
      </w:pPr>
      <w:r w:rsidRPr="006C65B2">
        <w:rPr>
          <w:rFonts w:ascii="Times New Roman" w:hAnsi="Times New Roman"/>
          <w:bCs/>
          <w:sz w:val="22"/>
          <w:szCs w:val="21"/>
        </w:rPr>
        <w:t xml:space="preserve">                                      </w:t>
      </w:r>
      <w:r w:rsidRPr="006C65B2">
        <w:rPr>
          <w:rFonts w:ascii="Times New Roman" w:hAnsi="Times New Roman"/>
          <w:bCs/>
          <w:sz w:val="24"/>
          <w:szCs w:val="21"/>
        </w:rPr>
        <w:t xml:space="preserve"> </w:t>
      </w:r>
      <w:r w:rsidRPr="006C65B2">
        <w:rPr>
          <w:rFonts w:ascii="Times New Roman" w:hAnsi="Times New Roman"/>
          <w:bCs/>
          <w:sz w:val="28"/>
          <w:szCs w:val="21"/>
        </w:rPr>
        <w:t xml:space="preserve"> </w:t>
      </w:r>
      <w:r w:rsidRPr="00F57C8A">
        <w:rPr>
          <w:rFonts w:ascii="仿宋_GB2312" w:eastAsia="仿宋_GB2312" w:hAnsi="Times New Roman" w:hint="eastAsia"/>
          <w:bCs/>
          <w:sz w:val="28"/>
          <w:szCs w:val="21"/>
        </w:rPr>
        <w:t xml:space="preserve">        单位： km</w:t>
      </w:r>
    </w:p>
    <w:tbl>
      <w:tblPr>
        <w:tblW w:w="9218" w:type="dxa"/>
        <w:tblInd w:w="-106" w:type="dxa"/>
        <w:tblLayout w:type="fixed"/>
        <w:tblLook w:val="0000"/>
      </w:tblPr>
      <w:tblGrid>
        <w:gridCol w:w="2291"/>
        <w:gridCol w:w="1309"/>
        <w:gridCol w:w="1118"/>
        <w:gridCol w:w="1146"/>
        <w:gridCol w:w="1282"/>
        <w:gridCol w:w="2072"/>
      </w:tblGrid>
      <w:tr w:rsidR="00F57C8A" w:rsidRPr="00F57C8A" w:rsidTr="00014C69">
        <w:trPr>
          <w:trHeight w:val="965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类   别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乘用车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客车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货车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专用车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测试方法</w:t>
            </w:r>
          </w:p>
        </w:tc>
      </w:tr>
      <w:tr w:rsidR="00F57C8A" w:rsidRPr="00F57C8A" w:rsidTr="00014C69">
        <w:trPr>
          <w:trHeight w:val="1288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纯电动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≥100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≥200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≥80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≥80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M1、N1类采用工况法，其他暂采用40km/h等速法。</w:t>
            </w:r>
          </w:p>
        </w:tc>
      </w:tr>
      <w:tr w:rsidR="00F57C8A" w:rsidRPr="00F57C8A" w:rsidTr="00014C69">
        <w:trPr>
          <w:trHeight w:val="833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插电式（含增程式）</w:t>
            </w:r>
          </w:p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混合动力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≥50</w:t>
            </w:r>
          </w:p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（工况法）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≥50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≥50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≥50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M1、N1类采用工况法或60km/h等速法，其他暂采用40km/h等速法。</w:t>
            </w:r>
          </w:p>
        </w:tc>
      </w:tr>
      <w:tr w:rsidR="00F57C8A" w:rsidRPr="00F57C8A" w:rsidTr="00014C69">
        <w:trPr>
          <w:trHeight w:val="832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≥70</w:t>
            </w:r>
          </w:p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（等速法）</w:t>
            </w:r>
          </w:p>
        </w:tc>
        <w:tc>
          <w:tcPr>
            <w:tcW w:w="1118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7C8A" w:rsidRPr="00F57C8A" w:rsidTr="00014C69">
        <w:trPr>
          <w:trHeight w:val="132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燃料电池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≥300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≥300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≥300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8A" w:rsidRPr="00F57C8A" w:rsidRDefault="00F57C8A" w:rsidP="00014C69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F57C8A">
              <w:rPr>
                <w:rFonts w:ascii="仿宋_GB2312" w:eastAsia="仿宋_GB2312" w:hAnsi="Times New Roman" w:hint="eastAsia"/>
                <w:sz w:val="24"/>
                <w:szCs w:val="24"/>
              </w:rPr>
              <w:t>M1、N1类采用工况法，其他暂采用40km/h等速法。</w:t>
            </w:r>
          </w:p>
        </w:tc>
      </w:tr>
    </w:tbl>
    <w:p w:rsidR="00F57C8A" w:rsidRPr="00F57C8A" w:rsidRDefault="00F57C8A" w:rsidP="008D14D1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1"/>
        </w:rPr>
      </w:pPr>
      <w:r w:rsidRPr="00F57C8A">
        <w:rPr>
          <w:rFonts w:ascii="仿宋_GB2312" w:eastAsia="仿宋_GB2312" w:hAnsi="Times New Roman" w:hint="eastAsia"/>
          <w:sz w:val="28"/>
          <w:szCs w:val="21"/>
        </w:rPr>
        <w:t>注：1.超级电容、钛酸锂快充纯电动客车无纯电动续驶里程要求。</w:t>
      </w:r>
    </w:p>
    <w:p w:rsidR="00F57C8A" w:rsidRPr="00F57C8A" w:rsidRDefault="00F57C8A" w:rsidP="008D14D1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1"/>
        </w:rPr>
      </w:pPr>
      <w:r w:rsidRPr="00F57C8A">
        <w:rPr>
          <w:rFonts w:ascii="仿宋_GB2312" w:eastAsia="仿宋_GB2312" w:hAnsi="Times New Roman" w:hint="eastAsia"/>
          <w:sz w:val="28"/>
          <w:szCs w:val="21"/>
        </w:rPr>
        <w:t xml:space="preserve">   2. M1类是指包括驾驶员座位在内，座位数不超过九座的载客车辆。N1类是指最大设计总质量不超过3500kg的载货车辆。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F57C8A">
        <w:rPr>
          <w:rFonts w:ascii="黑体" w:eastAsia="黑体" w:hAnsi="黑体" w:hint="eastAsia"/>
          <w:kern w:val="0"/>
          <w:sz w:val="32"/>
          <w:szCs w:val="32"/>
        </w:rPr>
        <w:t>二、新能源乘用车技术要求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1.</w:t>
      </w:r>
      <w:r w:rsidRPr="00F57C8A">
        <w:rPr>
          <w:rFonts w:ascii="仿宋_GB2312" w:eastAsia="仿宋_GB2312" w:hAnsi="Times New Roman" w:hint="eastAsia"/>
          <w:sz w:val="30"/>
          <w:szCs w:val="30"/>
        </w:rPr>
        <w:t>纯电动乘用车30分钟最高车速不低于100km/h。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2.</w:t>
      </w:r>
      <w:r w:rsidRPr="00F57C8A">
        <w:rPr>
          <w:rFonts w:ascii="仿宋_GB2312" w:eastAsia="仿宋_GB2312" w:hAnsi="Times New Roman" w:hint="eastAsia"/>
          <w:sz w:val="30"/>
          <w:szCs w:val="30"/>
        </w:rPr>
        <w:t>纯电动乘用车动力电池系统的质量能量密度不低于95Wh/kg。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  <w:highlight w:val="yellow"/>
        </w:rPr>
      </w:pPr>
      <w:r>
        <w:rPr>
          <w:rFonts w:ascii="仿宋_GB2312" w:eastAsia="仿宋_GB2312" w:hAnsi="Times New Roman" w:hint="eastAsia"/>
          <w:sz w:val="30"/>
          <w:szCs w:val="30"/>
        </w:rPr>
        <w:t>3.</w:t>
      </w:r>
      <w:r w:rsidRPr="00F57C8A">
        <w:rPr>
          <w:rFonts w:ascii="仿宋_GB2312" w:eastAsia="仿宋_GB2312" w:hAnsi="Times New Roman" w:hint="eastAsia"/>
          <w:sz w:val="30"/>
          <w:szCs w:val="30"/>
        </w:rPr>
        <w:t>纯电动乘用车产品，按整车整备质量（m）不同，工况条件下百公里耗电量（Y）应满足以下要求：m≤1000kg时，Y≤0.014</w:t>
      </w:r>
      <w:r w:rsidRPr="00F57C8A">
        <w:rPr>
          <w:rFonts w:ascii="仿宋_GB2312" w:eastAsia="仿宋_GB2312" w:hAnsi="Times New Roman" w:hint="eastAsia"/>
          <w:sz w:val="30"/>
          <w:szCs w:val="30"/>
        </w:rPr>
        <w:lastRenderedPageBreak/>
        <w:t>×m+0.5；1000&lt;m≤1600kg时, Y≤0.012×m+2.5；m&gt;1600kg时，Y≤0.005×m+13.7。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4.</w:t>
      </w:r>
      <w:r w:rsidRPr="00F57C8A">
        <w:rPr>
          <w:rFonts w:ascii="仿宋_GB2312" w:eastAsia="仿宋_GB2312" w:hAnsi="Times New Roman" w:hint="eastAsia"/>
          <w:sz w:val="30"/>
          <w:szCs w:val="30"/>
        </w:rPr>
        <w:t>工况纯电续驶里程低于80km的插电式混合动力乘用车B状态燃料消耗量（不含电能转化的燃料消耗量）与现行的常规燃料消耗量国家标准中对应限值相比小于70%。工况纯电续驶里程大于等于80km的插电式混合动力乘用车，其A状态百公里耗电量满足与纯电动乘用车相同的要求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F57C8A">
        <w:rPr>
          <w:rFonts w:ascii="黑体" w:eastAsia="黑体" w:hAnsi="黑体" w:hint="eastAsia"/>
          <w:kern w:val="0"/>
          <w:sz w:val="32"/>
          <w:szCs w:val="32"/>
        </w:rPr>
        <w:t>三、新能源客车技术要求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F57C8A">
        <w:rPr>
          <w:rFonts w:ascii="仿宋_GB2312" w:eastAsia="仿宋_GB2312" w:hAnsi="Times New Roman" w:hint="eastAsia"/>
          <w:sz w:val="30"/>
          <w:szCs w:val="30"/>
        </w:rPr>
        <w:t>1.单位载质量能量消耗量（Ekg）不高于0.24Wh/km·kg。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F57C8A">
        <w:rPr>
          <w:rFonts w:ascii="仿宋_GB2312" w:eastAsia="仿宋_GB2312" w:hAnsi="Times New Roman" w:hint="eastAsia"/>
          <w:sz w:val="30"/>
          <w:szCs w:val="30"/>
        </w:rPr>
        <w:t>2.非快充类纯电动客车电池系统能量密度要高于95Wh/kg，快充类纯电动客车快充倍率要高于3C，插电式混合动力（含增程式）客车节油率水平要高于40%。</w:t>
      </w:r>
      <w:bookmarkStart w:id="0" w:name="_GoBack"/>
      <w:bookmarkEnd w:id="0"/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F57C8A">
        <w:rPr>
          <w:rFonts w:ascii="黑体" w:eastAsia="黑体" w:hAnsi="黑体" w:hint="eastAsia"/>
          <w:kern w:val="0"/>
          <w:sz w:val="32"/>
          <w:szCs w:val="32"/>
        </w:rPr>
        <w:t>四、新能源货车和专用车技术要求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1.</w:t>
      </w:r>
      <w:r w:rsidRPr="00F57C8A">
        <w:rPr>
          <w:rFonts w:ascii="仿宋_GB2312" w:eastAsia="仿宋_GB2312" w:hAnsi="Times New Roman" w:hint="eastAsia"/>
          <w:sz w:val="30"/>
          <w:szCs w:val="30"/>
        </w:rPr>
        <w:t>装载动力电池系统质量能量密度不低于95Wh/kg。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2.</w:t>
      </w:r>
      <w:r w:rsidRPr="00F57C8A">
        <w:rPr>
          <w:rFonts w:ascii="仿宋_GB2312" w:eastAsia="仿宋_GB2312" w:hAnsi="Times New Roman" w:hint="eastAsia"/>
          <w:sz w:val="30"/>
          <w:szCs w:val="30"/>
        </w:rPr>
        <w:t>纯电动货车、运输类专用车单位载质量能量消耗量（Ekg）不高于0.49Wh/km·kg，其他类纯电动专用车吨百公里电耗（按试验质量）不超过10kWh。</w:t>
      </w:r>
    </w:p>
    <w:p w:rsidR="00F57C8A" w:rsidRPr="00F57C8A" w:rsidRDefault="00F57C8A" w:rsidP="00F57C8A">
      <w:pPr>
        <w:autoSpaceDE w:val="0"/>
        <w:autoSpaceDN w:val="0"/>
        <w:spacing w:line="360" w:lineRule="auto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F57C8A">
        <w:rPr>
          <w:rFonts w:ascii="黑体" w:eastAsia="黑体" w:hAnsi="黑体" w:hint="eastAsia"/>
          <w:kern w:val="0"/>
          <w:sz w:val="32"/>
          <w:szCs w:val="32"/>
        </w:rPr>
        <w:t>五、燃料电池汽车技术要求</w:t>
      </w:r>
    </w:p>
    <w:p w:rsidR="00567865" w:rsidRPr="00F57C8A" w:rsidRDefault="00F57C8A" w:rsidP="00F57C8A">
      <w:pPr>
        <w:ind w:firstLineChars="200" w:firstLine="600"/>
        <w:rPr>
          <w:rFonts w:ascii="仿宋_GB2312" w:eastAsia="仿宋_GB2312"/>
        </w:rPr>
      </w:pPr>
      <w:r w:rsidRPr="00F57C8A">
        <w:rPr>
          <w:rFonts w:ascii="仿宋_GB2312" w:eastAsia="仿宋_GB2312" w:hAnsi="Times New Roman" w:hint="eastAsia"/>
          <w:sz w:val="30"/>
          <w:szCs w:val="30"/>
        </w:rPr>
        <w:t>燃料电池系统的额定功率不低于驱动电机额定功率的30%，且乘用车燃料电池系统额定功率不小于10kW，商用车不小于30kW。</w:t>
      </w:r>
    </w:p>
    <w:sectPr w:rsidR="00567865" w:rsidRPr="00F57C8A" w:rsidSect="00D956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7DC" w:rsidRDefault="00FE27DC" w:rsidP="00F57C8A">
      <w:r>
        <w:separator/>
      </w:r>
    </w:p>
  </w:endnote>
  <w:endnote w:type="continuationSeparator" w:id="1">
    <w:p w:rsidR="00FE27DC" w:rsidRDefault="00FE27DC" w:rsidP="00F5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1082"/>
      <w:docPartObj>
        <w:docPartGallery w:val="Page Numbers (Bottom of Page)"/>
        <w:docPartUnique/>
      </w:docPartObj>
    </w:sdtPr>
    <w:sdtContent>
      <w:p w:rsidR="00F57C8A" w:rsidRDefault="002B53BE">
        <w:pPr>
          <w:pStyle w:val="a4"/>
          <w:jc w:val="center"/>
        </w:pPr>
        <w:fldSimple w:instr=" PAGE   \* MERGEFORMAT ">
          <w:r w:rsidR="008D14D1" w:rsidRPr="008D14D1">
            <w:rPr>
              <w:noProof/>
              <w:lang w:val="zh-CN"/>
            </w:rPr>
            <w:t>1</w:t>
          </w:r>
        </w:fldSimple>
      </w:p>
    </w:sdtContent>
  </w:sdt>
  <w:p w:rsidR="00F57C8A" w:rsidRDefault="00F57C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7DC" w:rsidRDefault="00FE27DC" w:rsidP="00F57C8A">
      <w:r>
        <w:separator/>
      </w:r>
    </w:p>
  </w:footnote>
  <w:footnote w:type="continuationSeparator" w:id="1">
    <w:p w:rsidR="00FE27DC" w:rsidRDefault="00FE27DC" w:rsidP="00F57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C8A"/>
    <w:rsid w:val="000D0E2F"/>
    <w:rsid w:val="002B53BE"/>
    <w:rsid w:val="00567865"/>
    <w:rsid w:val="008D14D1"/>
    <w:rsid w:val="00D92998"/>
    <w:rsid w:val="00D956DD"/>
    <w:rsid w:val="00F57C8A"/>
    <w:rsid w:val="00FE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C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C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王海英</dc:creator>
  <cp:keywords/>
  <dc:description/>
  <cp:lastModifiedBy>魏玮</cp:lastModifiedBy>
  <cp:revision>6</cp:revision>
  <cp:lastPrinted>2017-12-26T06:07:00Z</cp:lastPrinted>
  <dcterms:created xsi:type="dcterms:W3CDTF">2017-12-19T03:41:00Z</dcterms:created>
  <dcterms:modified xsi:type="dcterms:W3CDTF">2017-12-26T06:07:00Z</dcterms:modified>
</cp:coreProperties>
</file>